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Kilka ciekawych, restauracyjnych case study z ADWEB'owego podwórka znajdziecie w najnowszym numerze magazynu Biznes Restauracje &amp; Catering.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Kilka ciekawych, restauracyjnych case study z ADWEB'owego podwórka znajdziecie w najnowszym numerze magazynu Biznes Restauracje &amp; Catering.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Szukajcie artykułu Bartka Juszczyka: "Jak wypromować restaurację na Facebooku?".</w:t></w:r></w:p><w:p/><w:p><w:r><w:rPr><w:rFonts w:ascii="calibri" w:hAnsi="calibri" w:eastAsia="calibri" w:cs="calibri"/><w:sz w:val="24"/><w:szCs w:val="24"/></w:rPr><w:t xml:space="preserve"> Kilka ciekawych, restauracyjnych case study z ADWEB'owego podwórka znajdziecie w najnowszym numerze magazynu Biznes Restauracje & Catering.</w:t></w:r></w:p><w:p/><w:p><w:r><w:rPr><w:rFonts w:ascii="calibri" w:hAnsi="calibri" w:eastAsia="calibri" w:cs="calibri"/><w:sz w:val="24"/><w:szCs w:val="24"/></w:rPr><w:t xml:space="preserve">Szukajcie artykułu Bartka Juszczyka: "Jak wypromować restaurację na Facebooku?".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2024-04-17T08:30:12+02:00</dcterms:created>
  <dcterms:modified xsi:type="dcterms:W3CDTF">2024-04-17T08:30:12+02:00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